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61" w:rsidRPr="00304561" w:rsidRDefault="00304561" w:rsidP="0038712E">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04561">
        <w:rPr>
          <w:rFonts w:ascii="宋体" w:eastAsia="宋体" w:hAnsi="宋体" w:cs="宋体" w:hint="eastAsia"/>
          <w:kern w:val="0"/>
          <w:sz w:val="24"/>
          <w:szCs w:val="24"/>
        </w:rPr>
        <w:t xml:space="preserve">为规范建筑市场秩序，保证建设工程质量安全，促进建筑业的健康发展，确保新老资质标准顺利过渡以及过渡期间企业继续满足相应资质标准，根据住房城乡建设部《建筑业企业资质管理规定》（中华人民共和国住房和城乡建设部令第22号）和《建筑业企业资质管理规定和资质标准实施意见》（建市[2015]20号）的相关规定，经研究，自6月起对我区施工企业开展资质动态核查，现将具体要求通知如下：　</w:t>
      </w:r>
    </w:p>
    <w:p w:rsidR="00304561" w:rsidRPr="00304561" w:rsidRDefault="00304561" w:rsidP="0038712E">
      <w:pPr>
        <w:widowControl/>
        <w:spacing w:before="100" w:beforeAutospacing="1" w:after="100" w:afterAutospacing="1" w:line="360" w:lineRule="auto"/>
        <w:ind w:left="42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一、    核查范围</w:t>
      </w:r>
    </w:p>
    <w:p w:rsidR="00304561" w:rsidRPr="00304561" w:rsidRDefault="00304561" w:rsidP="0038712E">
      <w:pPr>
        <w:widowControl/>
        <w:spacing w:before="100" w:beforeAutospacing="1" w:after="100" w:afterAutospacing="1" w:line="360" w:lineRule="auto"/>
        <w:ind w:left="70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1.  本次核查包括2015年2月1日前取得施工资质的所有区属企业。</w:t>
      </w:r>
    </w:p>
    <w:p w:rsidR="00304561" w:rsidRPr="00304561" w:rsidRDefault="00304561" w:rsidP="0038712E">
      <w:pPr>
        <w:widowControl/>
        <w:spacing w:before="100" w:beforeAutospacing="1" w:after="100" w:afterAutospacing="1" w:line="360" w:lineRule="auto"/>
        <w:ind w:left="70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2.  核查期间完成换发新版建筑业企业资质证书的企业不纳入本次核查范围。</w:t>
      </w:r>
    </w:p>
    <w:p w:rsidR="00304561" w:rsidRPr="00304561" w:rsidRDefault="00304561" w:rsidP="0038712E">
      <w:pPr>
        <w:widowControl/>
        <w:spacing w:before="100" w:beforeAutospacing="1" w:after="100" w:afterAutospacing="1" w:line="360" w:lineRule="auto"/>
        <w:ind w:left="70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3.  新资质标准中取消的资质不纳入本次核查范围（包括土石方工程专业承包、混凝土预制构件专业承包、电梯安装工程专业承包、金属门窗工程专业承包、预应力工程专业承包、爆破与拆除工程专业承包、无损检测专业承包、体育场地设施工程专业承包）。</w:t>
      </w:r>
    </w:p>
    <w:p w:rsidR="00304561" w:rsidRPr="00304561" w:rsidRDefault="00304561" w:rsidP="0038712E">
      <w:pPr>
        <w:widowControl/>
        <w:spacing w:before="100" w:beforeAutospacing="1" w:after="100" w:afterAutospacing="1" w:line="360" w:lineRule="auto"/>
        <w:ind w:left="42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二、    核查标准</w:t>
      </w:r>
    </w:p>
    <w:p w:rsidR="00304561" w:rsidRPr="00304561" w:rsidRDefault="00304561" w:rsidP="0038712E">
      <w:pPr>
        <w:widowControl/>
        <w:spacing w:before="100" w:beforeAutospacing="1" w:after="100" w:afterAutospacing="1" w:line="360" w:lineRule="auto"/>
        <w:ind w:left="700"/>
        <w:jc w:val="left"/>
        <w:rPr>
          <w:rFonts w:ascii="宋体" w:eastAsia="宋体" w:hAnsi="宋体" w:cs="宋体"/>
          <w:kern w:val="0"/>
          <w:sz w:val="24"/>
          <w:szCs w:val="24"/>
        </w:rPr>
      </w:pPr>
      <w:r w:rsidRPr="00304561">
        <w:rPr>
          <w:rFonts w:ascii="宋体" w:eastAsia="宋体" w:hAnsi="宋体" w:cs="宋体" w:hint="eastAsia"/>
          <w:kern w:val="0"/>
          <w:sz w:val="24"/>
          <w:szCs w:val="24"/>
        </w:rPr>
        <w:t>本次</w:t>
      </w:r>
      <w:proofErr w:type="gramStart"/>
      <w:r w:rsidRPr="00304561">
        <w:rPr>
          <w:rFonts w:ascii="宋体" w:eastAsia="宋体" w:hAnsi="宋体" w:cs="宋体" w:hint="eastAsia"/>
          <w:kern w:val="0"/>
          <w:sz w:val="24"/>
          <w:szCs w:val="24"/>
        </w:rPr>
        <w:t>核查按</w:t>
      </w:r>
      <w:proofErr w:type="gramEnd"/>
      <w:r w:rsidRPr="00304561">
        <w:rPr>
          <w:rFonts w:ascii="宋体" w:eastAsia="宋体" w:hAnsi="宋体" w:cs="宋体" w:hint="eastAsia"/>
          <w:kern w:val="0"/>
          <w:sz w:val="24"/>
          <w:szCs w:val="24"/>
        </w:rPr>
        <w:t>原资质标准进行（初级职称除外）。</w:t>
      </w:r>
    </w:p>
    <w:p w:rsidR="00304561" w:rsidRPr="00304561" w:rsidRDefault="00304561" w:rsidP="0038712E">
      <w:pPr>
        <w:widowControl/>
        <w:spacing w:before="100" w:beforeAutospacing="1" w:after="100" w:afterAutospacing="1" w:line="360" w:lineRule="auto"/>
        <w:ind w:left="42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三、    核查程序</w:t>
      </w:r>
    </w:p>
    <w:p w:rsidR="00304561" w:rsidRPr="00304561" w:rsidRDefault="00304561" w:rsidP="0038712E">
      <w:pPr>
        <w:widowControl/>
        <w:spacing w:before="100" w:beforeAutospacing="1" w:after="100" w:afterAutospacing="1" w:line="360" w:lineRule="auto"/>
        <w:ind w:left="70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1.  各相关企业即时进行自查，并按核查材料明细（见附件）准备书面材料；</w:t>
      </w:r>
    </w:p>
    <w:p w:rsidR="00304561" w:rsidRPr="00304561" w:rsidRDefault="00304561" w:rsidP="0038712E">
      <w:pPr>
        <w:widowControl/>
        <w:spacing w:before="100" w:beforeAutospacing="1" w:after="100" w:afterAutospacing="1" w:line="360" w:lineRule="auto"/>
        <w:ind w:left="70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2.  企业按指定时间将书面材料送到建管</w:t>
      </w:r>
      <w:proofErr w:type="gramStart"/>
      <w:r w:rsidRPr="00304561">
        <w:rPr>
          <w:rFonts w:ascii="宋体" w:eastAsia="宋体" w:hAnsi="宋体" w:cs="宋体" w:hint="eastAsia"/>
          <w:kern w:val="0"/>
          <w:sz w:val="24"/>
          <w:szCs w:val="24"/>
        </w:rPr>
        <w:t>所相关</w:t>
      </w:r>
      <w:proofErr w:type="gramEnd"/>
      <w:r w:rsidRPr="00304561">
        <w:rPr>
          <w:rFonts w:ascii="宋体" w:eastAsia="宋体" w:hAnsi="宋体" w:cs="宋体" w:hint="eastAsia"/>
          <w:kern w:val="0"/>
          <w:sz w:val="24"/>
          <w:szCs w:val="24"/>
        </w:rPr>
        <w:t>部门，检查人员当场对书面材料进行核查；</w:t>
      </w:r>
    </w:p>
    <w:p w:rsidR="00304561" w:rsidRPr="00304561" w:rsidRDefault="00304561" w:rsidP="0038712E">
      <w:pPr>
        <w:widowControl/>
        <w:spacing w:before="100" w:beforeAutospacing="1" w:after="100" w:afterAutospacing="1" w:line="360" w:lineRule="auto"/>
        <w:ind w:left="70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3.  有必要时，建管所将派员进行现场核查；</w:t>
      </w:r>
    </w:p>
    <w:p w:rsidR="00304561" w:rsidRDefault="00304561" w:rsidP="0038712E">
      <w:pPr>
        <w:widowControl/>
        <w:spacing w:before="100" w:beforeAutospacing="1" w:after="100" w:afterAutospacing="1" w:line="360" w:lineRule="auto"/>
        <w:ind w:left="420" w:hanging="420"/>
        <w:jc w:val="left"/>
        <w:rPr>
          <w:rFonts w:ascii="宋体" w:eastAsia="宋体" w:hAnsi="宋体" w:cs="宋体" w:hint="eastAsia"/>
          <w:kern w:val="0"/>
          <w:sz w:val="24"/>
          <w:szCs w:val="24"/>
        </w:rPr>
      </w:pPr>
      <w:r w:rsidRPr="00304561">
        <w:rPr>
          <w:rFonts w:ascii="宋体" w:eastAsia="宋体" w:hAnsi="宋体" w:cs="宋体" w:hint="eastAsia"/>
          <w:kern w:val="0"/>
          <w:sz w:val="24"/>
          <w:szCs w:val="24"/>
        </w:rPr>
        <w:t>四、    核查时间、地点及联系方式</w:t>
      </w:r>
    </w:p>
    <w:p w:rsidR="0038712E" w:rsidRPr="00304561" w:rsidRDefault="0038712E" w:rsidP="0038712E">
      <w:pPr>
        <w:widowControl/>
        <w:spacing w:before="100" w:beforeAutospacing="1" w:after="100" w:afterAutospacing="1" w:line="360" w:lineRule="auto"/>
        <w:ind w:left="420" w:hanging="420"/>
        <w:jc w:val="left"/>
        <w:rPr>
          <w:rFonts w:ascii="宋体" w:eastAsia="宋体" w:hAnsi="宋体" w:cs="宋体"/>
          <w:kern w:val="0"/>
          <w:sz w:val="24"/>
          <w:szCs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2"/>
        <w:gridCol w:w="2410"/>
        <w:gridCol w:w="1134"/>
      </w:tblGrid>
      <w:tr w:rsidR="00304561" w:rsidRPr="00304561" w:rsidTr="00304561">
        <w:trPr>
          <w:trHeight w:val="700"/>
        </w:trPr>
        <w:tc>
          <w:tcPr>
            <w:tcW w:w="817"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jc w:val="center"/>
              <w:rPr>
                <w:rFonts w:ascii="宋体" w:eastAsia="宋体" w:hAnsi="宋体" w:cs="宋体"/>
                <w:kern w:val="0"/>
                <w:sz w:val="24"/>
                <w:szCs w:val="24"/>
              </w:rPr>
            </w:pPr>
            <w:r w:rsidRPr="00304561">
              <w:rPr>
                <w:rFonts w:ascii="宋体" w:eastAsia="宋体" w:hAnsi="宋体" w:cs="宋体" w:hint="eastAsia"/>
                <w:kern w:val="0"/>
                <w:sz w:val="24"/>
                <w:szCs w:val="24"/>
              </w:rPr>
              <w:lastRenderedPageBreak/>
              <w:t>序号</w:t>
            </w:r>
          </w:p>
        </w:tc>
        <w:tc>
          <w:tcPr>
            <w:tcW w:w="4252"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line="360" w:lineRule="auto"/>
              <w:ind w:leftChars="-51" w:left="-16" w:rightChars="-186" w:right="-391" w:hangingChars="38" w:hanging="91"/>
              <w:jc w:val="center"/>
              <w:rPr>
                <w:rFonts w:ascii="宋体" w:eastAsia="宋体" w:hAnsi="宋体" w:cs="宋体"/>
                <w:kern w:val="0"/>
                <w:sz w:val="24"/>
                <w:szCs w:val="24"/>
              </w:rPr>
            </w:pPr>
            <w:r w:rsidRPr="00304561">
              <w:rPr>
                <w:rFonts w:ascii="宋体" w:eastAsia="宋体" w:hAnsi="宋体" w:cs="宋体" w:hint="eastAsia"/>
                <w:kern w:val="0"/>
                <w:sz w:val="24"/>
                <w:szCs w:val="24"/>
              </w:rPr>
              <w:t>企业类别</w:t>
            </w:r>
          </w:p>
        </w:tc>
        <w:tc>
          <w:tcPr>
            <w:tcW w:w="2410"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6" w:hangingChars="38" w:hanging="91"/>
              <w:jc w:val="center"/>
              <w:rPr>
                <w:rFonts w:ascii="宋体" w:eastAsia="宋体" w:hAnsi="宋体" w:cs="宋体"/>
                <w:kern w:val="0"/>
                <w:sz w:val="24"/>
                <w:szCs w:val="24"/>
              </w:rPr>
            </w:pPr>
            <w:r w:rsidRPr="00304561">
              <w:rPr>
                <w:rFonts w:ascii="宋体" w:eastAsia="宋体" w:hAnsi="宋体" w:cs="宋体" w:hint="eastAsia"/>
                <w:kern w:val="0"/>
                <w:sz w:val="24"/>
                <w:szCs w:val="24"/>
              </w:rPr>
              <w:t>核查时间安排</w:t>
            </w:r>
          </w:p>
        </w:tc>
        <w:tc>
          <w:tcPr>
            <w:tcW w:w="1134"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6" w:hangingChars="38" w:hanging="91"/>
              <w:jc w:val="center"/>
              <w:rPr>
                <w:rFonts w:ascii="宋体" w:eastAsia="宋体" w:hAnsi="宋体" w:cs="宋体"/>
                <w:kern w:val="0"/>
                <w:sz w:val="24"/>
                <w:szCs w:val="24"/>
              </w:rPr>
            </w:pPr>
            <w:r w:rsidRPr="00304561">
              <w:rPr>
                <w:rFonts w:ascii="宋体" w:eastAsia="宋体" w:hAnsi="宋体" w:cs="宋体" w:hint="eastAsia"/>
                <w:kern w:val="0"/>
                <w:sz w:val="24"/>
                <w:szCs w:val="24"/>
              </w:rPr>
              <w:t>备注</w:t>
            </w:r>
          </w:p>
        </w:tc>
      </w:tr>
      <w:tr w:rsidR="00304561" w:rsidRPr="00304561" w:rsidTr="00304561">
        <w:trPr>
          <w:trHeight w:val="435"/>
        </w:trPr>
        <w:tc>
          <w:tcPr>
            <w:tcW w:w="817"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line="360" w:lineRule="auto"/>
              <w:ind w:leftChars="-67" w:left="-16" w:rightChars="-51" w:right="-107" w:hangingChars="52" w:hanging="125"/>
              <w:jc w:val="center"/>
              <w:rPr>
                <w:rFonts w:ascii="宋体" w:eastAsia="宋体" w:hAnsi="宋体" w:cs="宋体"/>
                <w:kern w:val="0"/>
                <w:sz w:val="24"/>
                <w:szCs w:val="24"/>
              </w:rPr>
            </w:pPr>
            <w:r w:rsidRPr="00304561">
              <w:rPr>
                <w:rFonts w:ascii="宋体" w:eastAsia="宋体" w:hAnsi="宋体" w:cs="宋体" w:hint="eastAsia"/>
                <w:kern w:val="0"/>
                <w:sz w:val="24"/>
                <w:szCs w:val="24"/>
              </w:rPr>
              <w:t>1</w:t>
            </w:r>
          </w:p>
        </w:tc>
        <w:tc>
          <w:tcPr>
            <w:tcW w:w="4252"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施工劳务资质企业</w:t>
            </w:r>
          </w:p>
        </w:tc>
        <w:tc>
          <w:tcPr>
            <w:tcW w:w="2410"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2015年6-7月</w:t>
            </w:r>
          </w:p>
        </w:tc>
        <w:tc>
          <w:tcPr>
            <w:tcW w:w="1134"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77家</w:t>
            </w:r>
          </w:p>
        </w:tc>
      </w:tr>
      <w:tr w:rsidR="00304561" w:rsidRPr="00304561" w:rsidTr="00304561">
        <w:trPr>
          <w:trHeight w:val="398"/>
        </w:trPr>
        <w:tc>
          <w:tcPr>
            <w:tcW w:w="817"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line="360" w:lineRule="auto"/>
              <w:ind w:leftChars="-67" w:left="-16" w:rightChars="-51" w:right="-107" w:hangingChars="52" w:hanging="125"/>
              <w:jc w:val="center"/>
              <w:rPr>
                <w:rFonts w:ascii="宋体" w:eastAsia="宋体" w:hAnsi="宋体" w:cs="宋体"/>
                <w:kern w:val="0"/>
                <w:sz w:val="24"/>
                <w:szCs w:val="24"/>
              </w:rPr>
            </w:pPr>
            <w:r w:rsidRPr="00304561">
              <w:rPr>
                <w:rFonts w:ascii="宋体" w:eastAsia="宋体" w:hAnsi="宋体" w:cs="宋体" w:hint="eastAsia"/>
                <w:kern w:val="0"/>
                <w:sz w:val="24"/>
                <w:szCs w:val="24"/>
              </w:rPr>
              <w:t>2</w:t>
            </w:r>
          </w:p>
        </w:tc>
        <w:tc>
          <w:tcPr>
            <w:tcW w:w="4252"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施工总承包资质序列三级资质企业</w:t>
            </w:r>
          </w:p>
        </w:tc>
        <w:tc>
          <w:tcPr>
            <w:tcW w:w="2410"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2015年7-8月</w:t>
            </w:r>
          </w:p>
        </w:tc>
        <w:tc>
          <w:tcPr>
            <w:tcW w:w="1134"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52家</w:t>
            </w:r>
          </w:p>
        </w:tc>
      </w:tr>
      <w:tr w:rsidR="00304561" w:rsidRPr="00304561" w:rsidTr="00304561">
        <w:trPr>
          <w:trHeight w:val="418"/>
        </w:trPr>
        <w:tc>
          <w:tcPr>
            <w:tcW w:w="817"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line="360" w:lineRule="auto"/>
              <w:ind w:leftChars="-67" w:left="-16" w:rightChars="-51" w:right="-107" w:hangingChars="52" w:hanging="125"/>
              <w:jc w:val="center"/>
              <w:rPr>
                <w:rFonts w:ascii="宋体" w:eastAsia="宋体" w:hAnsi="宋体" w:cs="宋体"/>
                <w:kern w:val="0"/>
                <w:sz w:val="24"/>
                <w:szCs w:val="24"/>
              </w:rPr>
            </w:pPr>
            <w:r w:rsidRPr="00304561">
              <w:rPr>
                <w:rFonts w:ascii="宋体" w:eastAsia="宋体" w:hAnsi="宋体" w:cs="宋体" w:hint="eastAsia"/>
                <w:kern w:val="0"/>
                <w:sz w:val="24"/>
                <w:szCs w:val="24"/>
              </w:rPr>
              <w:t>3</w:t>
            </w:r>
          </w:p>
        </w:tc>
        <w:tc>
          <w:tcPr>
            <w:tcW w:w="4252"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专业承包资质序列企业三级资质</w:t>
            </w:r>
          </w:p>
        </w:tc>
        <w:tc>
          <w:tcPr>
            <w:tcW w:w="2410"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2015年9-12月</w:t>
            </w:r>
          </w:p>
        </w:tc>
        <w:tc>
          <w:tcPr>
            <w:tcW w:w="1134" w:type="dxa"/>
            <w:tcBorders>
              <w:top w:val="single" w:sz="4" w:space="0" w:color="000000"/>
              <w:left w:val="single" w:sz="4" w:space="0" w:color="000000"/>
              <w:bottom w:val="single" w:sz="4" w:space="0" w:color="000000"/>
              <w:right w:val="single" w:sz="4" w:space="0" w:color="000000"/>
            </w:tcBorders>
            <w:hideMark/>
          </w:tcPr>
          <w:p w:rsidR="00304561" w:rsidRPr="00304561" w:rsidRDefault="00304561" w:rsidP="0038712E">
            <w:pPr>
              <w:widowControl/>
              <w:spacing w:before="100" w:beforeAutospacing="1" w:after="100" w:afterAutospacing="1" w:line="360" w:lineRule="auto"/>
              <w:ind w:leftChars="-51" w:left="1" w:hangingChars="45" w:hanging="108"/>
              <w:jc w:val="left"/>
              <w:rPr>
                <w:rFonts w:ascii="宋体" w:eastAsia="宋体" w:hAnsi="宋体" w:cs="宋体"/>
                <w:kern w:val="0"/>
                <w:sz w:val="24"/>
                <w:szCs w:val="24"/>
              </w:rPr>
            </w:pPr>
            <w:r w:rsidRPr="00304561">
              <w:rPr>
                <w:rFonts w:ascii="宋体" w:eastAsia="宋体" w:hAnsi="宋体" w:cs="宋体" w:hint="eastAsia"/>
                <w:kern w:val="0"/>
                <w:sz w:val="24"/>
                <w:szCs w:val="24"/>
              </w:rPr>
              <w:t>110家</w:t>
            </w:r>
          </w:p>
        </w:tc>
      </w:tr>
    </w:tbl>
    <w:p w:rsidR="00304561" w:rsidRPr="00304561" w:rsidRDefault="00304561" w:rsidP="0038712E">
      <w:pPr>
        <w:widowControl/>
        <w:spacing w:before="100" w:beforeAutospacing="1" w:after="100" w:afterAutospacing="1" w:line="360" w:lineRule="auto"/>
        <w:ind w:left="1" w:firstLineChars="202" w:firstLine="485"/>
        <w:jc w:val="left"/>
        <w:rPr>
          <w:rFonts w:ascii="宋体" w:eastAsia="宋体" w:hAnsi="宋体" w:cs="宋体"/>
          <w:kern w:val="0"/>
          <w:sz w:val="24"/>
          <w:szCs w:val="24"/>
        </w:rPr>
      </w:pPr>
      <w:r w:rsidRPr="00304561">
        <w:rPr>
          <w:rFonts w:ascii="宋体" w:eastAsia="宋体" w:hAnsi="宋体" w:cs="宋体" w:hint="eastAsia"/>
          <w:kern w:val="0"/>
          <w:sz w:val="24"/>
          <w:szCs w:val="24"/>
        </w:rPr>
        <w:t>具体时间安排将在各类企业核查前一周在上海市青浦区建筑建材业管理所网站（http://www.shqpjgs.com）首页上公布，请企业提前关注，按时参加核查。</w:t>
      </w:r>
    </w:p>
    <w:p w:rsidR="00304561" w:rsidRPr="00304561" w:rsidRDefault="00304561" w:rsidP="0038712E">
      <w:pPr>
        <w:widowControl/>
        <w:spacing w:before="100" w:beforeAutospacing="1" w:after="100" w:afterAutospacing="1" w:line="360" w:lineRule="auto"/>
        <w:ind w:firstLineChars="202" w:firstLine="485"/>
        <w:jc w:val="left"/>
        <w:rPr>
          <w:rFonts w:ascii="宋体" w:eastAsia="宋体" w:hAnsi="宋体" w:cs="宋体"/>
          <w:kern w:val="0"/>
          <w:sz w:val="24"/>
          <w:szCs w:val="24"/>
        </w:rPr>
      </w:pPr>
      <w:r w:rsidRPr="00304561">
        <w:rPr>
          <w:rFonts w:ascii="宋体" w:eastAsia="宋体" w:hAnsi="宋体" w:cs="宋体" w:hint="eastAsia"/>
          <w:kern w:val="0"/>
          <w:sz w:val="24"/>
          <w:szCs w:val="24"/>
        </w:rPr>
        <w:t>核查地点：青浦区建筑建材业管理所市场管理科（盈顺路218弄25号建交大楼604室）</w:t>
      </w:r>
    </w:p>
    <w:p w:rsidR="00304561" w:rsidRPr="00304561" w:rsidRDefault="00304561" w:rsidP="0038712E">
      <w:pPr>
        <w:widowControl/>
        <w:spacing w:before="100" w:beforeAutospacing="1" w:after="100" w:afterAutospacing="1" w:line="360" w:lineRule="auto"/>
        <w:ind w:firstLineChars="202" w:firstLine="485"/>
        <w:jc w:val="left"/>
        <w:rPr>
          <w:rFonts w:ascii="宋体" w:eastAsia="宋体" w:hAnsi="宋体" w:cs="宋体"/>
          <w:kern w:val="0"/>
          <w:sz w:val="24"/>
          <w:szCs w:val="24"/>
        </w:rPr>
      </w:pPr>
      <w:r w:rsidRPr="00304561">
        <w:rPr>
          <w:rFonts w:ascii="宋体" w:eastAsia="宋体" w:hAnsi="宋体" w:cs="宋体" w:hint="eastAsia"/>
          <w:kern w:val="0"/>
          <w:sz w:val="24"/>
          <w:szCs w:val="24"/>
        </w:rPr>
        <w:t>核查联系人：王敏、付雷</w:t>
      </w:r>
    </w:p>
    <w:p w:rsidR="00304561" w:rsidRPr="00304561" w:rsidRDefault="00304561" w:rsidP="0038712E">
      <w:pPr>
        <w:widowControl/>
        <w:spacing w:before="100" w:beforeAutospacing="1" w:after="100" w:afterAutospacing="1" w:line="360" w:lineRule="auto"/>
        <w:ind w:firstLineChars="202" w:firstLine="485"/>
        <w:jc w:val="left"/>
        <w:rPr>
          <w:rFonts w:ascii="宋体" w:eastAsia="宋体" w:hAnsi="宋体" w:cs="宋体"/>
          <w:kern w:val="0"/>
          <w:sz w:val="24"/>
          <w:szCs w:val="24"/>
        </w:rPr>
      </w:pPr>
      <w:r w:rsidRPr="00304561">
        <w:rPr>
          <w:rFonts w:ascii="宋体" w:eastAsia="宋体" w:hAnsi="宋体" w:cs="宋体" w:hint="eastAsia"/>
          <w:kern w:val="0"/>
          <w:sz w:val="24"/>
          <w:szCs w:val="24"/>
        </w:rPr>
        <w:t>联系电话：59857531</w:t>
      </w:r>
    </w:p>
    <w:p w:rsidR="00304561" w:rsidRPr="00304561" w:rsidRDefault="00304561" w:rsidP="0038712E">
      <w:pPr>
        <w:widowControl/>
        <w:spacing w:before="100" w:beforeAutospacing="1" w:after="100" w:afterAutospacing="1" w:line="360" w:lineRule="auto"/>
        <w:ind w:left="420" w:hanging="420"/>
        <w:jc w:val="left"/>
        <w:rPr>
          <w:rFonts w:ascii="宋体" w:eastAsia="宋体" w:hAnsi="宋体" w:cs="宋体"/>
          <w:kern w:val="0"/>
          <w:sz w:val="24"/>
          <w:szCs w:val="24"/>
        </w:rPr>
      </w:pPr>
      <w:r w:rsidRPr="00304561">
        <w:rPr>
          <w:rFonts w:ascii="宋体" w:eastAsia="宋体" w:hAnsi="宋体" w:cs="宋体" w:hint="eastAsia"/>
          <w:kern w:val="0"/>
          <w:sz w:val="24"/>
          <w:szCs w:val="24"/>
        </w:rPr>
        <w:t>五、    核查结果处理方法</w:t>
      </w:r>
    </w:p>
    <w:p w:rsidR="00304561" w:rsidRPr="00304561" w:rsidRDefault="00304561" w:rsidP="0038712E">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04561">
        <w:rPr>
          <w:rFonts w:ascii="宋体" w:eastAsia="宋体" w:hAnsi="宋体" w:cs="宋体" w:hint="eastAsia"/>
          <w:kern w:val="0"/>
          <w:sz w:val="24"/>
          <w:szCs w:val="24"/>
        </w:rPr>
        <w:t>本次核查结论按是否满足建筑业企业资质标准要求分为合格和不合格二种。未按时参加核查的企业，将根据网上信息进行核查，并直接判定结果。根据《建筑业企业资质管理规定》对于核查结论为不合格的企业责令限期整改，整改期限最长不超过3个月；企业整改期间不得申请建筑业企业资质的升级、增项、不能承揽新的工程；逾期仍未达到建筑业企业资质标准要求条件的，资质许可机关将撤回其建筑业企业资质证书。</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附件：2015年度青浦区企业资质核查材料明细；</w:t>
      </w:r>
    </w:p>
    <w:p w:rsidR="00304561" w:rsidRPr="00304561" w:rsidRDefault="00304561" w:rsidP="0038712E">
      <w:pPr>
        <w:widowControl/>
        <w:spacing w:before="100" w:beforeAutospacing="1" w:after="100" w:afterAutospacing="1" w:line="360" w:lineRule="auto"/>
        <w:ind w:firstLineChars="1950" w:firstLine="4680"/>
        <w:jc w:val="right"/>
        <w:rPr>
          <w:rFonts w:ascii="宋体" w:eastAsia="宋体" w:hAnsi="宋体" w:cs="宋体"/>
          <w:kern w:val="0"/>
          <w:sz w:val="24"/>
          <w:szCs w:val="24"/>
        </w:rPr>
      </w:pPr>
      <w:r w:rsidRPr="00304561">
        <w:rPr>
          <w:rFonts w:ascii="宋体" w:eastAsia="宋体" w:hAnsi="宋体" w:cs="宋体" w:hint="eastAsia"/>
          <w:kern w:val="0"/>
          <w:sz w:val="24"/>
          <w:szCs w:val="24"/>
        </w:rPr>
        <w:t>青浦区建筑建材业管理所</w:t>
      </w:r>
    </w:p>
    <w:p w:rsidR="00304561" w:rsidRPr="00304561" w:rsidRDefault="00304561" w:rsidP="0038712E">
      <w:pPr>
        <w:widowControl/>
        <w:spacing w:before="100" w:beforeAutospacing="1" w:after="100" w:afterAutospacing="1" w:line="360" w:lineRule="auto"/>
        <w:ind w:firstLineChars="2100" w:firstLine="5040"/>
        <w:jc w:val="right"/>
        <w:rPr>
          <w:rFonts w:ascii="宋体" w:eastAsia="宋体" w:hAnsi="宋体" w:cs="宋体"/>
          <w:kern w:val="0"/>
          <w:sz w:val="24"/>
          <w:szCs w:val="24"/>
        </w:rPr>
      </w:pPr>
      <w:r w:rsidRPr="00304561">
        <w:rPr>
          <w:rFonts w:ascii="宋体" w:eastAsia="宋体" w:hAnsi="宋体" w:cs="宋体" w:hint="eastAsia"/>
          <w:kern w:val="0"/>
          <w:sz w:val="24"/>
          <w:szCs w:val="24"/>
        </w:rPr>
        <w:t>二〇一五年四月八日</w:t>
      </w:r>
    </w:p>
    <w:p w:rsidR="00304561" w:rsidRPr="00304561" w:rsidRDefault="00304561" w:rsidP="0038712E">
      <w:pPr>
        <w:widowControl/>
        <w:spacing w:before="100" w:beforeAutospacing="1" w:after="100" w:afterAutospacing="1" w:line="360" w:lineRule="auto"/>
        <w:ind w:leftChars="200" w:left="420" w:firstLineChars="202" w:firstLine="485"/>
        <w:jc w:val="left"/>
        <w:rPr>
          <w:rFonts w:ascii="宋体" w:eastAsia="宋体" w:hAnsi="宋体" w:cs="宋体"/>
          <w:kern w:val="0"/>
          <w:sz w:val="24"/>
          <w:szCs w:val="24"/>
        </w:rPr>
      </w:pPr>
      <w:r w:rsidRPr="00304561">
        <w:rPr>
          <w:rFonts w:ascii="宋体" w:eastAsia="宋体" w:hAnsi="宋体" w:cs="宋体" w:hint="eastAsia"/>
          <w:kern w:val="0"/>
          <w:sz w:val="24"/>
          <w:szCs w:val="24"/>
        </w:rPr>
        <w:t> </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附件：2015年度青浦区企业资质核查材料明细</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lastRenderedPageBreak/>
        <w:t>1.  企业法人营业执照副本（查验原件）；</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2.  企业资质证书正、副本（查验原件）；</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3.  企业安全生产许可证正、副本（查验原件）；</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4.  企业技术负责人的身份证明、职称证书、任职文件及社保凭证（验原件，留复印件）；</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5.  企业相应专业注册人员的身份证明、职业资格证书及社保凭证（查验原件，留复印件）；</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6.  企业有职称的中、高级工程技术和经济管理人员的身份证明、职称证书及社保凭证（查验原件，留复印件）；</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7.  劳务企业相应专业技术工人的身份证明、技能培训等级证书及社保凭证（查验原件，留复印件）；</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8.  企业内部各项管理制度、各类技术标准目录；劳务企业提供相应用工制度及工资发放制度；</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9.  提供资质就位后的相关业绩一览表；</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10.资质标准对企业设备、厂房有具体要求的，企业应出具设备购置或租赁合同、发票、房屋产权证或房屋租赁合同等相关证明；</w:t>
      </w:r>
    </w:p>
    <w:p w:rsidR="00304561" w:rsidRPr="00304561" w:rsidRDefault="00304561" w:rsidP="0038712E">
      <w:pPr>
        <w:widowControl/>
        <w:spacing w:before="100" w:beforeAutospacing="1" w:after="100" w:afterAutospacing="1" w:line="360" w:lineRule="auto"/>
        <w:jc w:val="left"/>
        <w:rPr>
          <w:rFonts w:ascii="宋体" w:eastAsia="宋体" w:hAnsi="宋体" w:cs="宋体"/>
          <w:kern w:val="0"/>
          <w:sz w:val="24"/>
          <w:szCs w:val="24"/>
        </w:rPr>
      </w:pPr>
      <w:r w:rsidRPr="00304561">
        <w:rPr>
          <w:rFonts w:ascii="宋体" w:eastAsia="宋体" w:hAnsi="宋体" w:cs="宋体" w:hint="eastAsia"/>
          <w:kern w:val="0"/>
          <w:sz w:val="24"/>
          <w:szCs w:val="24"/>
        </w:rPr>
        <w:t>11.其他。</w:t>
      </w:r>
    </w:p>
    <w:p w:rsidR="00304561" w:rsidRPr="00304561" w:rsidRDefault="00304561" w:rsidP="0038712E">
      <w:pPr>
        <w:widowControl/>
        <w:spacing w:before="100" w:beforeAutospacing="1" w:after="100" w:afterAutospacing="1" w:line="360" w:lineRule="auto"/>
        <w:ind w:firstLineChars="202" w:firstLine="485"/>
        <w:jc w:val="left"/>
        <w:rPr>
          <w:rFonts w:ascii="宋体" w:eastAsia="宋体" w:hAnsi="宋体" w:cs="宋体"/>
          <w:kern w:val="0"/>
          <w:sz w:val="24"/>
          <w:szCs w:val="24"/>
        </w:rPr>
      </w:pPr>
      <w:r w:rsidRPr="00304561">
        <w:rPr>
          <w:rFonts w:ascii="宋体" w:eastAsia="宋体" w:hAnsi="宋体" w:cs="宋体" w:hint="eastAsia"/>
          <w:kern w:val="0"/>
          <w:sz w:val="24"/>
          <w:szCs w:val="24"/>
        </w:rPr>
        <w:t>以上资料请企业按顺序依次整理并装订成册（已完成网上从业人员信息采集及维护工作的企业，其中4、5、6、7项可不提供书面资料；第8项可单独提供）。</w:t>
      </w:r>
    </w:p>
    <w:p w:rsidR="0015139D" w:rsidRDefault="0015139D" w:rsidP="0038712E">
      <w:pPr>
        <w:spacing w:line="360" w:lineRule="auto"/>
      </w:pPr>
    </w:p>
    <w:sectPr w:rsidR="0015139D" w:rsidSect="00465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4561"/>
    <w:rsid w:val="0015139D"/>
    <w:rsid w:val="00304561"/>
    <w:rsid w:val="0038712E"/>
    <w:rsid w:val="00465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6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1317</Characters>
  <Application>Microsoft Office Word</Application>
  <DocSecurity>0</DocSecurity>
  <Lines>10</Lines>
  <Paragraphs>3</Paragraphs>
  <ScaleCrop>false</ScaleCrop>
  <Company>深度优化纯净版</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2015-06-01T06:07:00Z</dcterms:created>
  <dcterms:modified xsi:type="dcterms:W3CDTF">2015-06-01T06:26:00Z</dcterms:modified>
</cp:coreProperties>
</file>